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71" w:rsidRDefault="00F30D53">
      <w:pPr>
        <w:pStyle w:val="a8"/>
      </w:pPr>
      <w:r>
        <w:t>МИНИСТЕРСТВО ЗДРАВООХРАНЕНИЯ РОССИЙСКОЙ ФЕДЕРАЦИИ</w:t>
      </w:r>
    </w:p>
    <w:p w:rsidR="00F55471" w:rsidRDefault="00F554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5471" w:rsidRDefault="00F30D53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F55471" w:rsidRDefault="00F30D53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 медицинскому применению лекарственного препарата</w:t>
      </w:r>
    </w:p>
    <w:p w:rsidR="00F55471" w:rsidRDefault="00F30D53">
      <w:pPr>
        <w:spacing w:line="36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ГОПАНТОМИД</w:t>
      </w:r>
    </w:p>
    <w:p w:rsidR="00F55471" w:rsidRDefault="00F30D53">
      <w:pPr>
        <w:pStyle w:val="3"/>
      </w:pPr>
      <w:r>
        <w:rPr>
          <w:b/>
          <w:bCs/>
        </w:rPr>
        <w:t xml:space="preserve">Регистрационный номер: </w:t>
      </w:r>
      <w:r>
        <w:t>ЛП-005531</w:t>
      </w:r>
    </w:p>
    <w:p w:rsidR="00F55471" w:rsidRDefault="00F30D53"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Торговое наименование препарата: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Гопантомид</w:t>
      </w:r>
      <w:proofErr w:type="spellEnd"/>
    </w:p>
    <w:p w:rsidR="00F55471" w:rsidRDefault="00F30D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наименование: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Гопантеновая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кислота</w:t>
      </w:r>
    </w:p>
    <w:p w:rsidR="00F55471" w:rsidRDefault="00F30D5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таблетки 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на одну таблетку:</w:t>
      </w:r>
    </w:p>
    <w:tbl>
      <w:tblPr>
        <w:tblStyle w:val="af0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202"/>
        <w:gridCol w:w="1561"/>
        <w:gridCol w:w="1808"/>
      </w:tblGrid>
      <w:tr w:rsidR="00F55471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Действующее вещество: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55471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55471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471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pStyle w:val="1"/>
              <w:widowControl w:val="0"/>
              <w:spacing w:line="360" w:lineRule="auto"/>
              <w:jc w:val="left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Кальция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гопантенат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 мг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 мг</w:t>
            </w:r>
          </w:p>
        </w:tc>
      </w:tr>
      <w:tr w:rsidR="00F55471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Вспомогательные вещества: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55471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55471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471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гидроксикарбонат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46,77 мг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93,54 мг</w:t>
            </w:r>
          </w:p>
        </w:tc>
      </w:tr>
      <w:tr w:rsidR="00F55471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Кальция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стеарат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 мг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 мг</w:t>
            </w:r>
          </w:p>
        </w:tc>
      </w:tr>
      <w:tr w:rsidR="00F55471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Тальк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мг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 мг</w:t>
            </w:r>
          </w:p>
        </w:tc>
      </w:tr>
      <w:tr w:rsidR="00F55471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Крахмал картофельный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3,93 мг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471" w:rsidRDefault="00F30D53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7,86 мг</w:t>
            </w:r>
          </w:p>
        </w:tc>
      </w:tr>
    </w:tbl>
    <w:p w:rsidR="00F55471" w:rsidRDefault="00F30D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Круглые плоскоцилиндрические таблетки белого цвета, с фаской и риской.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ноотропное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средство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>
        <w:rPr>
          <w:rFonts w:ascii="Times New Roman" w:hAnsi="Times New Roman" w:cs="Times New Roman"/>
          <w:bCs/>
          <w:sz w:val="24"/>
          <w:szCs w:val="24"/>
        </w:rPr>
        <w:t xml:space="preserve"> [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06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BX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  <w:proofErr w:type="spellEnd"/>
    </w:p>
    <w:p w:rsidR="00F55471" w:rsidRDefault="00F30D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гопантеновой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кислоты связан с наличием в его структуре гамма-аминомасляной кислоты (ГАМК). Механизм действия обусловлен прямым влиянием препарата на ГАМК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-рецептор-канальный комплекс. Препарат обладает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ноотропным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противосудорожным действием. Повышает ус</w:t>
      </w:r>
      <w:r>
        <w:rPr>
          <w:rFonts w:ascii="Times New Roman" w:hAnsi="Times New Roman" w:cs="Times New Roman"/>
          <w:sz w:val="24"/>
          <w:szCs w:val="24"/>
        </w:rPr>
        <w:t>тойчивость мозга к гипоксии и воздействию токсических веществ, стимулирует анаболические процессы в нейронах, сочетает умеренное седативное действие с мягким стимулирующим эффектом, уменьшает моторную возбудимость, активирует умственную и физическую работо</w:t>
      </w:r>
      <w:r>
        <w:rPr>
          <w:rFonts w:ascii="Times New Roman" w:hAnsi="Times New Roman" w:cs="Times New Roman"/>
          <w:sz w:val="24"/>
          <w:szCs w:val="24"/>
        </w:rPr>
        <w:t xml:space="preserve">способность. Улучшает метаболизм ГАМК при хронической алкогольной интоксикации и после отмены этанола. Способен ингибировать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ацетилирования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участвующие в механизмах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(новокаина) и сульфаниламидов, благодаря чему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достигается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лонгирование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действия последних. Вызывает торможение патологически повышенного пузырного рефлекса и тонуса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детрузора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  <w:proofErr w:type="spellEnd"/>
    </w:p>
    <w:p w:rsidR="00F55471" w:rsidRDefault="00F30D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Гопантеновая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кислота быстро всасывается из желудочно-кишечного тракта, проникает через гематоэнцефалический барьер, </w:t>
      </w:r>
      <w:r>
        <w:rPr>
          <w:rFonts w:ascii="Times New Roman" w:hAnsi="Times New Roman" w:cs="Times New Roman"/>
          <w:sz w:val="24"/>
          <w:szCs w:val="24"/>
        </w:rPr>
        <w:t xml:space="preserve">наибольшие концентрации создаются в печени, почках, стенке желудка и коже. Препарат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выводится в неизменном виде в течение 48 часов: 67,5% от принятой дозы - с мочой, 28,5% - с калом.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F55471" w:rsidRDefault="00F30D53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Экстрапирамидные нарушения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миоклонус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-эпилепсия, хорея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Гентингтона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гепатолентикулярная дегенерация, болезнь Паркинсона и др.);</w:t>
      </w:r>
    </w:p>
    <w:p w:rsidR="00F55471" w:rsidRDefault="00F30D53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Когнитивные нарушения при органических поражениях головного мозга, в том числе при последствиях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нейроинфекций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черепно-мозговых травм и невротических расстр</w:t>
      </w:r>
      <w:r>
        <w:rPr>
          <w:rFonts w:ascii="Times New Roman" w:hAnsi="Times New Roman" w:cs="Times New Roman"/>
          <w:sz w:val="24"/>
          <w:szCs w:val="24"/>
        </w:rPr>
        <w:t>ойствах;</w:t>
      </w:r>
    </w:p>
    <w:p w:rsidR="00F55471" w:rsidRDefault="003A67A6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экстрапирамидных</w:t>
      </w:r>
      <w:r w:rsidR="00F30D53">
        <w:rPr>
          <w:rFonts w:ascii="Times New Roman" w:hAnsi="Times New Roman" w:cs="Times New Roman"/>
          <w:sz w:val="24"/>
          <w:szCs w:val="24"/>
        </w:rPr>
        <w:t xml:space="preserve"> гиперкинезах, у больных с наследственными заболеваниями нервной системы в комбинации с проводимой терапией;</w:t>
      </w:r>
    </w:p>
    <w:p w:rsidR="00F55471" w:rsidRDefault="00F30D53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корректора при побочном действии нейролептических средств, при нейролептическом экстрапирамидном синдром</w:t>
      </w:r>
      <w:r>
        <w:rPr>
          <w:rFonts w:ascii="Times New Roman" w:hAnsi="Times New Roman" w:cs="Times New Roman"/>
          <w:sz w:val="24"/>
          <w:szCs w:val="24"/>
        </w:rPr>
        <w:t>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гиперкинетическом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акинетическом), в составе комплексной терапии при церебральной органической недостаточности у больных шизофренией;</w:t>
      </w:r>
    </w:p>
    <w:p w:rsidR="00F55471" w:rsidRDefault="00F30D53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Эпилепсия с замедлением психических процессов в комплексной терапии с противосудорожными средствами;</w:t>
      </w:r>
    </w:p>
    <w:p w:rsidR="00F55471" w:rsidRDefault="00F30D53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Психоэмоциональны</w:t>
      </w:r>
      <w:r>
        <w:rPr>
          <w:rFonts w:ascii="Times New Roman" w:hAnsi="Times New Roman" w:cs="Times New Roman"/>
          <w:sz w:val="24"/>
          <w:szCs w:val="24"/>
        </w:rPr>
        <w:t>е перегрузки, снижение умственной и физической работоспособности, для улучшения концентрации внимания и запоминания;</w:t>
      </w:r>
    </w:p>
    <w:p w:rsidR="00F55471" w:rsidRDefault="00F30D53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Нейрогенные расстройства мочеиспускания (поллакиурия, императивные позывы, императивное недержание мочи,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55471" w:rsidRDefault="00F30D53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с задержкой развития</w:t>
      </w:r>
      <w:r>
        <w:rPr>
          <w:rFonts w:ascii="Times New Roman" w:hAnsi="Times New Roman" w:cs="Times New Roman"/>
          <w:sz w:val="24"/>
          <w:szCs w:val="24"/>
        </w:rPr>
        <w:t xml:space="preserve"> (психического, речевого, моторного или их сочетания), в том числе на фоне перенесенной перинатальной энцефалопатии и у детей с различными формами детского церебрального паралича;</w:t>
      </w:r>
    </w:p>
    <w:p w:rsidR="00F55471" w:rsidRDefault="00F30D53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гиперкинетических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расстройствах (синдроме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дефицитом внимания);</w:t>
      </w:r>
    </w:p>
    <w:p w:rsidR="00F55471" w:rsidRDefault="00F30D53">
      <w:pPr>
        <w:pStyle w:val="a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неврозоподобных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состояниях (тиках; при заикании, преимущественно при клонической форме).</w:t>
      </w:r>
    </w:p>
    <w:p w:rsidR="00F55471" w:rsidRDefault="00F554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471" w:rsidRDefault="00F554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471" w:rsidRDefault="00F30D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Противопоказания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Гиперчувствительность, острые тяжелые заболевания почек, беременность, грудное вскармливание, детский возраст до 3-х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t>Применение во время беременности и в период грудного вскармливания</w:t>
      </w:r>
    </w:p>
    <w:p w:rsidR="00F55471" w:rsidRDefault="00F30D53">
      <w:pPr>
        <w:pStyle w:val="3"/>
        <w:rPr>
          <w:iCs/>
        </w:rPr>
      </w:pPr>
      <w:r>
        <w:rPr>
          <w:iCs/>
        </w:rPr>
        <w:t>Применение во время беременности и в период грудного вскармливания не рекомендуется в связи с отсутствием данных эффективности и безопасности.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t>Способ применения и дозы</w:t>
      </w:r>
    </w:p>
    <w:p w:rsidR="00F55471" w:rsidRDefault="00F30D53">
      <w:pPr>
        <w:pStyle w:val="3"/>
        <w:rPr>
          <w:iCs/>
        </w:rPr>
      </w:pPr>
      <w:r>
        <w:rPr>
          <w:iCs/>
        </w:rPr>
        <w:t>Внутрь, через 15</w:t>
      </w:r>
      <w:r>
        <w:rPr>
          <w:iCs/>
        </w:rPr>
        <w:t>-30 минут после еды.</w:t>
      </w:r>
    </w:p>
    <w:p w:rsidR="00F55471" w:rsidRDefault="00F30D53">
      <w:pPr>
        <w:pStyle w:val="3"/>
        <w:rPr>
          <w:iCs/>
        </w:rPr>
      </w:pPr>
      <w:r>
        <w:rPr>
          <w:iCs/>
        </w:rPr>
        <w:t xml:space="preserve">Разовая доза для взрослых обычно составляет 250-1000 мг, для детей – 250-500 мг; суточная доза для взрослых – от 1500 мг до 3000 мг; для детей – от 750 мг до 3000 мг. 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>При когнитивных нарушениях при органических поражениях головного мо</w:t>
      </w:r>
      <w:r>
        <w:rPr>
          <w:i/>
          <w:iCs/>
        </w:rPr>
        <w:t xml:space="preserve">зга, в том числе при последствиях </w:t>
      </w:r>
      <w:proofErr w:type="spellStart"/>
      <w:r>
        <w:rPr>
          <w:i/>
          <w:iCs/>
        </w:rPr>
        <w:t>нейроинфекций</w:t>
      </w:r>
      <w:proofErr w:type="spellEnd"/>
      <w:r>
        <w:rPr>
          <w:i/>
          <w:iCs/>
        </w:rPr>
        <w:t>, черепно-мозговых травм и невротических расстройствах:</w:t>
      </w:r>
      <w:r>
        <w:rPr>
          <w:iCs/>
        </w:rPr>
        <w:t xml:space="preserve"> по 250 мг 3-4 раза в сутки.</w:t>
      </w:r>
    </w:p>
    <w:p w:rsidR="00F55471" w:rsidRDefault="003A67A6">
      <w:pPr>
        <w:pStyle w:val="3"/>
        <w:rPr>
          <w:iCs/>
        </w:rPr>
      </w:pPr>
      <w:r>
        <w:rPr>
          <w:i/>
          <w:iCs/>
        </w:rPr>
        <w:t>При экстрапирамид</w:t>
      </w:r>
      <w:r w:rsidR="00F30D53">
        <w:rPr>
          <w:i/>
          <w:iCs/>
        </w:rPr>
        <w:t>ных гиперкинезах у больных с наследственными заболеваниями нервной системы</w:t>
      </w:r>
      <w:r w:rsidR="00F30D53">
        <w:rPr>
          <w:iCs/>
        </w:rPr>
        <w:t xml:space="preserve"> в комбинации с проводимой тера</w:t>
      </w:r>
      <w:r w:rsidR="00F30D53">
        <w:rPr>
          <w:iCs/>
        </w:rPr>
        <w:t>пией: в дозе от 500 мг до 3000 мг в сутки. Курс лечения – до 4 и более месяцев.</w:t>
      </w:r>
      <w:bookmarkStart w:id="0" w:name="_GoBack"/>
      <w:bookmarkEnd w:id="0"/>
    </w:p>
    <w:p w:rsidR="00F55471" w:rsidRDefault="00F30D53">
      <w:pPr>
        <w:pStyle w:val="3"/>
        <w:rPr>
          <w:iCs/>
        </w:rPr>
      </w:pPr>
      <w:r>
        <w:rPr>
          <w:i/>
          <w:iCs/>
        </w:rPr>
        <w:t>В качестве корректора</w:t>
      </w:r>
      <w:r>
        <w:rPr>
          <w:iCs/>
        </w:rPr>
        <w:t xml:space="preserve"> при побочном действии нейролептических средств, </w:t>
      </w:r>
      <w:r>
        <w:rPr>
          <w:i/>
          <w:iCs/>
        </w:rPr>
        <w:t>при нейролептическом экстрапирамидном синдроме (</w:t>
      </w:r>
      <w:proofErr w:type="spellStart"/>
      <w:r>
        <w:rPr>
          <w:i/>
          <w:iCs/>
        </w:rPr>
        <w:t>гиперкинетическом</w:t>
      </w:r>
      <w:proofErr w:type="spellEnd"/>
      <w:r>
        <w:rPr>
          <w:i/>
          <w:iCs/>
        </w:rPr>
        <w:t xml:space="preserve"> и акинетическом),</w:t>
      </w:r>
      <w:r>
        <w:rPr>
          <w:iCs/>
        </w:rPr>
        <w:t xml:space="preserve"> в составе комплексной </w:t>
      </w:r>
      <w:r>
        <w:rPr>
          <w:iCs/>
        </w:rPr>
        <w:t xml:space="preserve">терапии </w:t>
      </w:r>
      <w:r>
        <w:rPr>
          <w:i/>
          <w:iCs/>
        </w:rPr>
        <w:t>при церебральной органической недостаточности у больных шизофренией:</w:t>
      </w:r>
      <w:r>
        <w:rPr>
          <w:iCs/>
        </w:rPr>
        <w:t xml:space="preserve"> взрослым – в дозе от 500 мг до 1000 мг 3 раза в сутки; детям – в дозе от 250 мг до 500 мг 3-4 раза в сутки. Курс лечения – 1-3 месяца.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>При эпилепсии с замедлением психических проц</w:t>
      </w:r>
      <w:r>
        <w:rPr>
          <w:i/>
          <w:iCs/>
        </w:rPr>
        <w:t>ессов</w:t>
      </w:r>
      <w:r>
        <w:rPr>
          <w:iCs/>
        </w:rPr>
        <w:t xml:space="preserve"> в комплексной терапии с противосудорожными средствами: взрослым – в дозе от 500 мг до 1000 мг 3 раза в сутки; детям – в дозе от 250 мг до 500 мг 3-4 раза в сутки. Курс лечения – до 6 месяцев.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 xml:space="preserve">При психоэмоциональных перегрузках, снижении умственной и </w:t>
      </w:r>
      <w:r>
        <w:rPr>
          <w:i/>
          <w:iCs/>
        </w:rPr>
        <w:t xml:space="preserve">физической работоспособности, для улучшения </w:t>
      </w:r>
      <w:proofErr w:type="gramStart"/>
      <w:r>
        <w:rPr>
          <w:i/>
          <w:iCs/>
        </w:rPr>
        <w:t>концентрации  внимания</w:t>
      </w:r>
      <w:proofErr w:type="gramEnd"/>
      <w:r>
        <w:rPr>
          <w:i/>
          <w:iCs/>
        </w:rPr>
        <w:t xml:space="preserve"> и запоминания:</w:t>
      </w:r>
      <w:r>
        <w:rPr>
          <w:iCs/>
        </w:rPr>
        <w:t xml:space="preserve"> по 250 мг 3 раза в сутки.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 xml:space="preserve">При нейрогенных расстройствах мочеиспускания: </w:t>
      </w:r>
      <w:r>
        <w:rPr>
          <w:iCs/>
        </w:rPr>
        <w:t xml:space="preserve">взрослым – в дозе от 500 мг до 1000 мг 2-3 раза в сутки; детям – в дозе от 250 мг до 500 мг 3 раза в </w:t>
      </w:r>
      <w:r>
        <w:rPr>
          <w:iCs/>
        </w:rPr>
        <w:t>сутки (суточная доза составляет 25-50 мг/кг). Курс лечения – 1-3 месяца.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>Детям с различной патологией нервной системы</w:t>
      </w:r>
      <w:r>
        <w:rPr>
          <w:iCs/>
        </w:rPr>
        <w:t xml:space="preserve"> в зависимости от возраста препарат рекомендуется в дозе 1000-3000 мг в сутки. Тактика назначения препарата: наращивание дозы в течение 7-1</w:t>
      </w:r>
      <w:r>
        <w:rPr>
          <w:iCs/>
        </w:rPr>
        <w:t xml:space="preserve">2 дней, прием в максимальной дозе на протяжении 15-40 дней и постепенное снижение дозы до отмены </w:t>
      </w:r>
      <w:proofErr w:type="spellStart"/>
      <w:r>
        <w:rPr>
          <w:iCs/>
        </w:rPr>
        <w:t>Гопантеновой</w:t>
      </w:r>
      <w:proofErr w:type="spellEnd"/>
      <w:r>
        <w:rPr>
          <w:iCs/>
        </w:rPr>
        <w:t xml:space="preserve"> кислоты в течение 7-8 дней. Перерыв </w:t>
      </w:r>
      <w:r>
        <w:rPr>
          <w:iCs/>
        </w:rPr>
        <w:lastRenderedPageBreak/>
        <w:t xml:space="preserve">между курсовыми приемами </w:t>
      </w:r>
      <w:proofErr w:type="spellStart"/>
      <w:r>
        <w:rPr>
          <w:iCs/>
        </w:rPr>
        <w:t>Гопантеновой</w:t>
      </w:r>
      <w:proofErr w:type="spellEnd"/>
      <w:r>
        <w:rPr>
          <w:iCs/>
        </w:rPr>
        <w:t xml:space="preserve"> кислоты, как и для любого другого </w:t>
      </w:r>
      <w:proofErr w:type="spellStart"/>
      <w:r>
        <w:rPr>
          <w:iCs/>
        </w:rPr>
        <w:t>ноотропного</w:t>
      </w:r>
      <w:proofErr w:type="spellEnd"/>
      <w:r>
        <w:rPr>
          <w:iCs/>
        </w:rPr>
        <w:t xml:space="preserve"> средства, составляет от 1 </w:t>
      </w:r>
      <w:r>
        <w:rPr>
          <w:iCs/>
        </w:rPr>
        <w:t>до 3 месяцев.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>Детям с задержкой развития:</w:t>
      </w:r>
      <w:r>
        <w:rPr>
          <w:iCs/>
        </w:rPr>
        <w:t xml:space="preserve"> по 500 мг 3-4 раза в сутки. Курс лечения 2-3 месяца.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 xml:space="preserve">Детям с синдромом </w:t>
      </w:r>
      <w:proofErr w:type="spellStart"/>
      <w:r>
        <w:rPr>
          <w:i/>
          <w:iCs/>
        </w:rPr>
        <w:t>гиперактивности</w:t>
      </w:r>
      <w:proofErr w:type="spellEnd"/>
      <w:r>
        <w:rPr>
          <w:i/>
          <w:iCs/>
        </w:rPr>
        <w:t xml:space="preserve"> с дефицитом внимания:</w:t>
      </w:r>
      <w:r>
        <w:rPr>
          <w:iCs/>
        </w:rPr>
        <w:t xml:space="preserve"> в зависимости от массы тела препарат назначают в средней терапевтической дозе 30 мг/кг в сутки, утром и д</w:t>
      </w:r>
      <w:r>
        <w:rPr>
          <w:iCs/>
        </w:rPr>
        <w:t>нем. Оптимальная доза определяется для каждого пациента индивидуально путем подбора с постепенным увеличением дозы в течение первых 5-7 дней. Курс лечения – 3-4 месяца.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 xml:space="preserve">Детям при </w:t>
      </w:r>
      <w:proofErr w:type="spellStart"/>
      <w:r>
        <w:rPr>
          <w:i/>
          <w:iCs/>
        </w:rPr>
        <w:t>неврозоподобных</w:t>
      </w:r>
      <w:proofErr w:type="spellEnd"/>
      <w:r>
        <w:rPr>
          <w:i/>
          <w:iCs/>
        </w:rPr>
        <w:t xml:space="preserve"> состояниях (тиках; при заикании, преимущественно при клоничес</w:t>
      </w:r>
      <w:r>
        <w:rPr>
          <w:i/>
          <w:iCs/>
        </w:rPr>
        <w:t>кой форме):</w:t>
      </w:r>
      <w:r>
        <w:rPr>
          <w:iCs/>
        </w:rPr>
        <w:t xml:space="preserve"> в дозе от 250 мг до 500 мг 3-6 раз в сутки.</w:t>
      </w:r>
    </w:p>
    <w:p w:rsidR="00F55471" w:rsidRDefault="00F30D53">
      <w:pPr>
        <w:pStyle w:val="3"/>
        <w:rPr>
          <w:iCs/>
        </w:rPr>
      </w:pPr>
      <w:r>
        <w:rPr>
          <w:iCs/>
        </w:rPr>
        <w:t>Курс лечения – от 1 до 4 месяцев, в отдельных случаях – до 6 месяцев. Через 3-6 месяцев возможно проведение повторного курса лечения.</w:t>
      </w:r>
    </w:p>
    <w:p w:rsidR="00F55471" w:rsidRDefault="00F30D53">
      <w:pPr>
        <w:pStyle w:val="3"/>
        <w:rPr>
          <w:iCs/>
        </w:rPr>
      </w:pPr>
      <w:r>
        <w:rPr>
          <w:iCs/>
        </w:rPr>
        <w:t xml:space="preserve">С учетом </w:t>
      </w:r>
      <w:proofErr w:type="spellStart"/>
      <w:r>
        <w:rPr>
          <w:iCs/>
        </w:rPr>
        <w:t>ноотпропного</w:t>
      </w:r>
      <w:proofErr w:type="spellEnd"/>
      <w:r>
        <w:rPr>
          <w:iCs/>
        </w:rPr>
        <w:t xml:space="preserve"> действия препарата его прием проводится пред</w:t>
      </w:r>
      <w:r>
        <w:rPr>
          <w:iCs/>
        </w:rPr>
        <w:t>почтительно в утренние и дневные часы (до 17 ч).</w:t>
      </w:r>
    </w:p>
    <w:p w:rsidR="00F55471" w:rsidRDefault="00F30D53">
      <w:pPr>
        <w:pStyle w:val="3"/>
        <w:rPr>
          <w:iCs/>
        </w:rPr>
      </w:pPr>
      <w:r>
        <w:rPr>
          <w:iCs/>
        </w:rPr>
        <w:t>Препарат применяется у детей старше 3 лет. В более раннем возрасте рекомендуется прием препарата в лекарственной форме сироп.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t>Побочное действие</w:t>
      </w:r>
    </w:p>
    <w:p w:rsidR="00F55471" w:rsidRDefault="00F30D53">
      <w:pPr>
        <w:pStyle w:val="3"/>
        <w:rPr>
          <w:iCs/>
        </w:rPr>
      </w:pPr>
      <w:r>
        <w:rPr>
          <w:iCs/>
        </w:rPr>
        <w:t>Нежелательные реакции, представленные ниже, перечислены в соотв</w:t>
      </w:r>
      <w:r>
        <w:rPr>
          <w:iCs/>
        </w:rPr>
        <w:t>етствии с поражением органов и систем и частотой встречаемости. Частота встречаемости определяется следующим образом: очень часто (≥1/10), часто (≥1/100 и &lt;1/10), не часто (≥1/1000 и &lt;1/100), редко (≥1/10000 и &lt;1/1000), очень редко (&lt;1/10000, включая отдел</w:t>
      </w:r>
      <w:r>
        <w:rPr>
          <w:iCs/>
        </w:rPr>
        <w:t>ьные случаи).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>Нарушения со стороны иммунной системы.</w:t>
      </w:r>
      <w:r>
        <w:rPr>
          <w:iCs/>
        </w:rPr>
        <w:t xml:space="preserve"> Очень редко: аллергические реакции (ринит, конъюнктивит, кожные аллергические реакции).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>Нарушения со стороны нервной системы.</w:t>
      </w:r>
      <w:r>
        <w:rPr>
          <w:iCs/>
        </w:rPr>
        <w:t xml:space="preserve"> Очень редко: </w:t>
      </w:r>
      <w:proofErr w:type="spellStart"/>
      <w:r>
        <w:rPr>
          <w:iCs/>
        </w:rPr>
        <w:t>гипервозбуждение</w:t>
      </w:r>
      <w:proofErr w:type="spellEnd"/>
      <w:r>
        <w:rPr>
          <w:iCs/>
        </w:rPr>
        <w:t>, головная боль, головокружение, шум в голове.</w:t>
      </w:r>
    </w:p>
    <w:p w:rsidR="00F55471" w:rsidRDefault="00F30D53">
      <w:pPr>
        <w:pStyle w:val="3"/>
        <w:rPr>
          <w:iCs/>
        </w:rPr>
      </w:pPr>
      <w:r>
        <w:rPr>
          <w:i/>
          <w:iCs/>
        </w:rPr>
        <w:t>Н</w:t>
      </w:r>
      <w:r>
        <w:rPr>
          <w:i/>
          <w:iCs/>
        </w:rPr>
        <w:t>арушения психики.</w:t>
      </w:r>
      <w:r>
        <w:rPr>
          <w:iCs/>
        </w:rPr>
        <w:t xml:space="preserve"> Очень редко: вялость, заторможенность, нарушения сна, сонливость.</w:t>
      </w:r>
    </w:p>
    <w:p w:rsidR="00F55471" w:rsidRDefault="00F30D53">
      <w:pPr>
        <w:pStyle w:val="3"/>
        <w:rPr>
          <w:iCs/>
        </w:rPr>
      </w:pPr>
      <w:r>
        <w:rPr>
          <w:iCs/>
        </w:rPr>
        <w:t xml:space="preserve">В случае возникновения нарушений со стороны иммунной системы отменяют препарат. В остальных случаях уменьшают дозу препарата. 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t>Передозировка</w:t>
      </w:r>
    </w:p>
    <w:p w:rsidR="00F55471" w:rsidRDefault="00F30D53">
      <w:pPr>
        <w:pStyle w:val="3"/>
        <w:rPr>
          <w:iCs/>
        </w:rPr>
      </w:pPr>
      <w:r>
        <w:rPr>
          <w:iCs/>
        </w:rPr>
        <w:t xml:space="preserve">Симптомы: нарушение сна или </w:t>
      </w:r>
      <w:r>
        <w:rPr>
          <w:iCs/>
        </w:rPr>
        <w:t>сонливость, шум в голове.</w:t>
      </w:r>
    </w:p>
    <w:p w:rsidR="00F55471" w:rsidRDefault="00F30D53">
      <w:pPr>
        <w:pStyle w:val="3"/>
        <w:rPr>
          <w:iCs/>
        </w:rPr>
      </w:pPr>
      <w:r>
        <w:rPr>
          <w:iCs/>
        </w:rPr>
        <w:t>Лечение: активированный уголь, промывание желудка, симптоматическая терапия.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t>Взаимодействие с другими лекарственными средствами</w:t>
      </w:r>
    </w:p>
    <w:p w:rsidR="00F55471" w:rsidRDefault="00F30D53">
      <w:pPr>
        <w:pStyle w:val="3"/>
        <w:rPr>
          <w:iCs/>
        </w:rPr>
      </w:pPr>
      <w:r>
        <w:rPr>
          <w:iCs/>
        </w:rPr>
        <w:t>Пролонгирует действие барбитуратов, усиливает действие противосудорожных средств, предотвращает побочн</w:t>
      </w:r>
      <w:r>
        <w:rPr>
          <w:iCs/>
        </w:rPr>
        <w:t xml:space="preserve">ые явления </w:t>
      </w:r>
      <w:proofErr w:type="spellStart"/>
      <w:r>
        <w:rPr>
          <w:iCs/>
        </w:rPr>
        <w:t>фенобарбитала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карбамазепина</w:t>
      </w:r>
      <w:proofErr w:type="spellEnd"/>
      <w:r>
        <w:rPr>
          <w:iCs/>
        </w:rPr>
        <w:t xml:space="preserve">, нейролептиков. Эффект </w:t>
      </w:r>
      <w:proofErr w:type="spellStart"/>
      <w:r>
        <w:rPr>
          <w:iCs/>
        </w:rPr>
        <w:t>гопантеновой</w:t>
      </w:r>
      <w:proofErr w:type="spellEnd"/>
      <w:r>
        <w:rPr>
          <w:iCs/>
        </w:rPr>
        <w:t xml:space="preserve"> кислоты усиливается в сочетании с глицином, </w:t>
      </w:r>
      <w:proofErr w:type="spellStart"/>
      <w:r>
        <w:rPr>
          <w:iCs/>
        </w:rPr>
        <w:t>этидроновой</w:t>
      </w:r>
      <w:proofErr w:type="spellEnd"/>
      <w:r>
        <w:rPr>
          <w:iCs/>
        </w:rPr>
        <w:t xml:space="preserve"> кислотой. Потенцирует действие местных анестетиков (</w:t>
      </w:r>
      <w:proofErr w:type="spellStart"/>
      <w:r>
        <w:rPr>
          <w:iCs/>
        </w:rPr>
        <w:t>прокаина</w:t>
      </w:r>
      <w:proofErr w:type="spellEnd"/>
      <w:r>
        <w:rPr>
          <w:iCs/>
        </w:rPr>
        <w:t>).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lastRenderedPageBreak/>
        <w:t>Особые указания</w:t>
      </w:r>
    </w:p>
    <w:p w:rsidR="00F55471" w:rsidRDefault="00F30D53">
      <w:pPr>
        <w:pStyle w:val="3"/>
        <w:rPr>
          <w:iCs/>
        </w:rPr>
      </w:pPr>
      <w:r>
        <w:rPr>
          <w:iCs/>
        </w:rPr>
        <w:t>Препарат применяется у детей старше 3 лет.</w:t>
      </w:r>
    </w:p>
    <w:p w:rsidR="00F55471" w:rsidRDefault="00F30D53">
      <w:pPr>
        <w:pStyle w:val="3"/>
        <w:rPr>
          <w:iCs/>
        </w:rPr>
      </w:pPr>
      <w:r>
        <w:rPr>
          <w:iCs/>
        </w:rPr>
        <w:t xml:space="preserve">В </w:t>
      </w:r>
      <w:r>
        <w:rPr>
          <w:iCs/>
        </w:rPr>
        <w:t xml:space="preserve">условиях длительного лечения не рекомендуется одновременное назначение препарата с другими </w:t>
      </w:r>
      <w:proofErr w:type="spellStart"/>
      <w:r>
        <w:rPr>
          <w:iCs/>
        </w:rPr>
        <w:t>ноотропными</w:t>
      </w:r>
      <w:proofErr w:type="spellEnd"/>
      <w:r>
        <w:rPr>
          <w:iCs/>
        </w:rPr>
        <w:t xml:space="preserve"> и стимулирующими средствами.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t>Влияние на способность управлять автотранспортом или работать с механизмами</w:t>
      </w:r>
    </w:p>
    <w:p w:rsidR="00F55471" w:rsidRDefault="00F30D53">
      <w:pPr>
        <w:pStyle w:val="3"/>
        <w:rPr>
          <w:iCs/>
        </w:rPr>
      </w:pPr>
      <w:r>
        <w:rPr>
          <w:iCs/>
        </w:rPr>
        <w:t>В первые дни приема следует соблюдать осторожнос</w:t>
      </w:r>
      <w:r>
        <w:rPr>
          <w:iCs/>
        </w:rPr>
        <w:t>ть при управлении транспортными средствами и механизмами, учитывая возможное возникновение сонливости (см. «Побочное действие»).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t>Форма выпуска</w:t>
      </w:r>
    </w:p>
    <w:p w:rsidR="00F55471" w:rsidRDefault="00F30D53">
      <w:pPr>
        <w:pStyle w:val="3"/>
        <w:rPr>
          <w:iCs/>
        </w:rPr>
      </w:pPr>
      <w:r>
        <w:rPr>
          <w:iCs/>
        </w:rPr>
        <w:t xml:space="preserve">Таблетки 250 мг и 500 мг. 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10 таблеток в контурную ячейковую упаковку из пленки поливинилхлоридной и фольги 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юминиевой печатной лакированной.</w:t>
      </w:r>
    </w:p>
    <w:p w:rsidR="00F55471" w:rsidRDefault="00F30D5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1, 2, 3, 4, 5 контурных ячейковых упаковок вместе с инструкцией по применению помещают в пачку из картона.</w:t>
      </w:r>
    </w:p>
    <w:p w:rsidR="00F55471" w:rsidRDefault="00F30D53">
      <w:pPr>
        <w:pStyle w:val="3"/>
        <w:rPr>
          <w:iCs/>
        </w:rPr>
      </w:pPr>
      <w:r>
        <w:rPr>
          <w:color w:val="000000" w:themeColor="text1"/>
        </w:rPr>
        <w:t xml:space="preserve">100, 200, 300, </w:t>
      </w:r>
      <w:r>
        <w:rPr>
          <w:color w:val="00000A"/>
        </w:rPr>
        <w:t xml:space="preserve">400, 600 контурных ячейковых упаковок с равным количеством </w:t>
      </w:r>
      <w:proofErr w:type="gramStart"/>
      <w:r>
        <w:rPr>
          <w:color w:val="00000A"/>
        </w:rPr>
        <w:t>инструкций  по</w:t>
      </w:r>
      <w:proofErr w:type="gramEnd"/>
      <w:r>
        <w:rPr>
          <w:color w:val="00000A"/>
        </w:rPr>
        <w:t xml:space="preserve"> медицинскому применению </w:t>
      </w:r>
      <w:r>
        <w:rPr>
          <w:color w:val="00000A"/>
        </w:rPr>
        <w:t>помещают в коробку картонную (для стационаров).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t>Условия хранения</w:t>
      </w:r>
    </w:p>
    <w:p w:rsidR="00F55471" w:rsidRDefault="00F30D53">
      <w:pPr>
        <w:pStyle w:val="3"/>
        <w:rPr>
          <w:iCs/>
        </w:rPr>
      </w:pPr>
      <w:r>
        <w:rPr>
          <w:iCs/>
        </w:rPr>
        <w:t xml:space="preserve">В защищенном от света месте, при температуре не выше 25°С. </w:t>
      </w:r>
    </w:p>
    <w:p w:rsidR="00F55471" w:rsidRDefault="00F30D53">
      <w:pPr>
        <w:pStyle w:val="3"/>
        <w:rPr>
          <w:iCs/>
        </w:rPr>
      </w:pPr>
      <w:r>
        <w:rPr>
          <w:iCs/>
        </w:rPr>
        <w:t>Хранить в недоступном для детей месте.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t>Срок годности</w:t>
      </w:r>
    </w:p>
    <w:p w:rsidR="00F55471" w:rsidRDefault="00F30D53">
      <w:pPr>
        <w:pStyle w:val="3"/>
        <w:rPr>
          <w:iCs/>
        </w:rPr>
      </w:pPr>
      <w:r>
        <w:rPr>
          <w:iCs/>
        </w:rPr>
        <w:t>3 года. Не применять препарат после истечения срока годности, указанного на уп</w:t>
      </w:r>
      <w:r>
        <w:rPr>
          <w:iCs/>
        </w:rPr>
        <w:t xml:space="preserve">аковке. </w:t>
      </w:r>
    </w:p>
    <w:p w:rsidR="00F55471" w:rsidRDefault="00F30D53">
      <w:pPr>
        <w:pStyle w:val="3"/>
        <w:rPr>
          <w:b/>
          <w:iCs/>
        </w:rPr>
      </w:pPr>
      <w:r>
        <w:rPr>
          <w:b/>
          <w:iCs/>
        </w:rPr>
        <w:t xml:space="preserve">Условия отпуска </w:t>
      </w:r>
    </w:p>
    <w:p w:rsidR="00F55471" w:rsidRDefault="00F30D53">
      <w:pPr>
        <w:pStyle w:val="3"/>
        <w:rPr>
          <w:iCs/>
        </w:rPr>
      </w:pPr>
      <w:r>
        <w:rPr>
          <w:iCs/>
        </w:rPr>
        <w:t>Отпускают по рецепту.</w:t>
      </w:r>
    </w:p>
    <w:p w:rsidR="00F55471" w:rsidRDefault="00F30D53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Производитель/организация, принимающая претензии:</w:t>
      </w:r>
    </w:p>
    <w:p w:rsidR="00F55471" w:rsidRDefault="00F30D53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АО «Усолье-Сибирский </w:t>
      </w:r>
      <w:proofErr w:type="spellStart"/>
      <w:r>
        <w:rPr>
          <w:szCs w:val="23"/>
        </w:rPr>
        <w:t>Химфармзавод</w:t>
      </w:r>
      <w:proofErr w:type="spellEnd"/>
      <w:r>
        <w:rPr>
          <w:szCs w:val="23"/>
        </w:rPr>
        <w:t xml:space="preserve">» </w:t>
      </w:r>
    </w:p>
    <w:p w:rsidR="00F55471" w:rsidRDefault="00F30D53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Россия, 665462, Иркутская область, </w:t>
      </w:r>
      <w:proofErr w:type="spellStart"/>
      <w:r>
        <w:rPr>
          <w:szCs w:val="23"/>
        </w:rPr>
        <w:t>г.Усолье</w:t>
      </w:r>
      <w:proofErr w:type="spellEnd"/>
      <w:r>
        <w:rPr>
          <w:szCs w:val="23"/>
        </w:rPr>
        <w:t>-Сибирское, северо-западная часть города, с северо-восточной стороны, в 115 м о</w:t>
      </w:r>
      <w:r>
        <w:rPr>
          <w:szCs w:val="23"/>
        </w:rPr>
        <w:t xml:space="preserve">т Прибайкальской автодороги. </w:t>
      </w:r>
    </w:p>
    <w:p w:rsidR="00F55471" w:rsidRDefault="00F30D53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3"/>
        </w:rPr>
        <w:t>тел./факс: (39543) 5-89-10, 5-89-08</w:t>
      </w:r>
    </w:p>
    <w:p w:rsidR="00F55471" w:rsidRDefault="00F55471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55471" w:rsidRDefault="00F55471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55471" w:rsidRDefault="00F55471"/>
    <w:sectPr w:rsidR="00F55471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53" w:rsidRDefault="00F30D53">
      <w:pPr>
        <w:spacing w:after="0" w:line="240" w:lineRule="auto"/>
      </w:pPr>
      <w:r>
        <w:separator/>
      </w:r>
    </w:p>
  </w:endnote>
  <w:endnote w:type="continuationSeparator" w:id="0">
    <w:p w:rsidR="00F30D53" w:rsidRDefault="00F3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53" w:rsidRDefault="00F30D53">
      <w:pPr>
        <w:spacing w:after="0" w:line="240" w:lineRule="auto"/>
      </w:pPr>
      <w:r>
        <w:separator/>
      </w:r>
    </w:p>
  </w:footnote>
  <w:footnote w:type="continuationSeparator" w:id="0">
    <w:p w:rsidR="00F30D53" w:rsidRDefault="00F3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765235"/>
      <w:docPartObj>
        <w:docPartGallery w:val="Page Numbers (Top of Page)"/>
        <w:docPartUnique/>
      </w:docPartObj>
    </w:sdtPr>
    <w:sdtEndPr/>
    <w:sdtContent>
      <w:p w:rsidR="00F55471" w:rsidRDefault="00F30D53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A67A6">
          <w:rPr>
            <w:noProof/>
          </w:rPr>
          <w:t>5</w:t>
        </w:r>
        <w:r>
          <w:fldChar w:fldCharType="end"/>
        </w:r>
      </w:p>
    </w:sdtContent>
  </w:sdt>
  <w:p w:rsidR="00F55471" w:rsidRDefault="00F554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8F3"/>
    <w:multiLevelType w:val="multilevel"/>
    <w:tmpl w:val="3BC2F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6C0ECD"/>
    <w:multiLevelType w:val="multilevel"/>
    <w:tmpl w:val="1A50E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1"/>
    <w:rsid w:val="003A67A6"/>
    <w:rsid w:val="007667CF"/>
    <w:rsid w:val="00F30D53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2BAA-9152-4FF0-8EE4-922F665D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9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customStyle="1" w:styleId="a4">
    <w:name w:val="Верхний колонтитул Знак"/>
    <w:basedOn w:val="a0"/>
    <w:uiPriority w:val="99"/>
    <w:qFormat/>
    <w:rsid w:val="00566353"/>
  </w:style>
  <w:style w:type="character" w:customStyle="1" w:styleId="a5">
    <w:name w:val="Нижний колонтитул Знак"/>
    <w:basedOn w:val="a0"/>
    <w:uiPriority w:val="99"/>
    <w:semiHidden/>
    <w:qFormat/>
    <w:rsid w:val="00566353"/>
  </w:style>
  <w:style w:type="character" w:customStyle="1" w:styleId="a6">
    <w:name w:val="Текст выноски Знак"/>
    <w:basedOn w:val="a0"/>
    <w:uiPriority w:val="99"/>
    <w:semiHidden/>
    <w:qFormat/>
    <w:rsid w:val="00305DA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3">
    <w:name w:val="Основной текст (3)"/>
    <w:basedOn w:val="a"/>
    <w:qFormat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qFormat/>
    <w:rsid w:val="00DA2B5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305DA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5D59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dc:description/>
  <cp:lastModifiedBy>Желудкова Людмила Леонидовна</cp:lastModifiedBy>
  <cp:revision>4</cp:revision>
  <cp:lastPrinted>2019-10-28T14:54:00Z</cp:lastPrinted>
  <dcterms:created xsi:type="dcterms:W3CDTF">2020-04-28T07:29:00Z</dcterms:created>
  <dcterms:modified xsi:type="dcterms:W3CDTF">2020-04-28T07:34:00Z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